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47A66D8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56C5DBC4"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7F8CDFB7"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A6F76CD"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1D6A5E">
      <w:footerReference w:type="default" r:id="rId8"/>
      <w:headerReference w:type="first" r:id="rId9"/>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37B2EE42" w:rsidR="00124BCA" w:rsidRDefault="00124BCA">
        <w:pPr>
          <w:pStyle w:val="a8"/>
          <w:jc w:val="center"/>
        </w:pPr>
        <w:r>
          <w:fldChar w:fldCharType="begin"/>
        </w:r>
        <w:r>
          <w:instrText>PAGE   \* MERGEFORMAT</w:instrText>
        </w:r>
        <w:r>
          <w:fldChar w:fldCharType="separate"/>
        </w:r>
        <w:r w:rsidR="00B6043B" w:rsidRPr="00B6043B">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24DE" w14:textId="77777777" w:rsidR="00871CC2" w:rsidRDefault="00871CC2" w:rsidP="00871CC2">
    <w:pPr>
      <w:pStyle w:val="a6"/>
      <w:rPr>
        <w:rFonts w:ascii="ＭＳ ゴシック" w:eastAsia="ＭＳ ゴシック" w:hAnsi="ＭＳ ゴシック"/>
        <w:sz w:val="24"/>
        <w:bdr w:val="single" w:sz="4" w:space="0" w:color="auto"/>
        <w:lang w:eastAsia="ja-JP"/>
      </w:rPr>
    </w:pPr>
  </w:p>
  <w:p w14:paraId="388DC49B" w14:textId="0974F214" w:rsidR="00871CC2" w:rsidRPr="00ED2EE2" w:rsidRDefault="00871CC2" w:rsidP="00871CC2">
    <w:pPr>
      <w:pStyle w:val="a6"/>
      <w:rPr>
        <w:rFonts w:ascii="ＭＳ ゴシック" w:eastAsia="ＭＳ ゴシック" w:hAnsi="ＭＳ ゴシック"/>
        <w:sz w:val="24"/>
        <w:bdr w:val="single" w:sz="4" w:space="0" w:color="auto"/>
      </w:rPr>
    </w:pPr>
  </w:p>
  <w:p w14:paraId="0DA06F1B" w14:textId="77777777" w:rsidR="00871CC2" w:rsidRDefault="00871C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1D6A5E"/>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61B54"/>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29F9"/>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1CC2"/>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02A"/>
    <w:rsid w:val="00A85943"/>
    <w:rsid w:val="00AA73F3"/>
    <w:rsid w:val="00AB119F"/>
    <w:rsid w:val="00AB2648"/>
    <w:rsid w:val="00AB5793"/>
    <w:rsid w:val="00AB7761"/>
    <w:rsid w:val="00AC0F8F"/>
    <w:rsid w:val="00AD10C1"/>
    <w:rsid w:val="00AE2196"/>
    <w:rsid w:val="00AF042E"/>
    <w:rsid w:val="00B12993"/>
    <w:rsid w:val="00B6043B"/>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EE2"/>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2DF7-BAFB-4739-A139-87BA8418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中越 利奈</cp:lastModifiedBy>
  <cp:revision>2</cp:revision>
  <cp:lastPrinted>2021-09-30T01:57:00Z</cp:lastPrinted>
  <dcterms:created xsi:type="dcterms:W3CDTF">2021-10-15T04:55:00Z</dcterms:created>
  <dcterms:modified xsi:type="dcterms:W3CDTF">2021-10-15T04:55:00Z</dcterms:modified>
</cp:coreProperties>
</file>